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barito" w:cs="Gabarito" w:eastAsia="Gabarito" w:hAnsi="Gabarito"/>
        </w:rPr>
      </w:pPr>
      <w:r w:rsidDel="00000000" w:rsidR="00000000" w:rsidRPr="00000000">
        <w:rPr>
          <w:rFonts w:ascii="Gabarito" w:cs="Gabarito" w:eastAsia="Gabarito" w:hAnsi="Gabarito"/>
          <w:b w:val="1"/>
          <w:rtl w:val="0"/>
        </w:rPr>
        <w:t xml:space="preserve">COMUNICADO DE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Source Sans 3" w:cs="Source Sans 3" w:eastAsia="Source Sans 3" w:hAnsi="Source Sans 3"/>
          <w:b w:val="1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Intervención en la Escuela Benjamín Vicuña Mackenna: Acciones de Control de Plagas y Desratización 2025</w:t>
      </w:r>
    </w:p>
    <w:p w:rsidR="00000000" w:rsidDel="00000000" w:rsidP="00000000" w:rsidRDefault="00000000" w:rsidRPr="00000000" w14:paraId="00000003">
      <w:pPr>
        <w:jc w:val="center"/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La Dirección de Educación Municipal de la Ilustre Municipalidad de Santiago informa sobre las acciones implementadas en respuesta a la presencia de roedores en la Escuela Benjamín Vicuña Mackenna durante el año 2025, con el objetivo de garantizar un entorno saludable y seguro para estudiantes, docentes y personal administrativo.</w:t>
      </w:r>
    </w:p>
    <w:p w:rsidR="00000000" w:rsidDel="00000000" w:rsidP="00000000" w:rsidRDefault="00000000" w:rsidRPr="00000000" w14:paraId="00000005">
      <w:pPr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Es importante precisar que estas situaciones no fueron resueltas desde junio del año 2024 por la administración anterior. Nosotros en menos de 30 días hemos trabajado para entregar las siguientes soluciones y avances:</w:t>
      </w:r>
    </w:p>
    <w:p w:rsidR="00000000" w:rsidDel="00000000" w:rsidP="00000000" w:rsidRDefault="00000000" w:rsidRPr="00000000" w14:paraId="00000006">
      <w:pPr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Acciones realizadas: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Desratización Integral: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 Se contrató a una empresa especializada en control de plagas para llevar a cabo un servicio integral de desratización con intervenciones periódicas durante todo el año. Este plan incluye la inspección, instalación de trampas, fumigaciones y medidas preventivas, con el objetivo de erradicar la plaga y evitar su recurrencia.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Sellado y Reparación de Puntos de Acceso: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 El equipo de Operaciones del Departamento de Administración se encargó del sellado y reparación de grietas y fisuras en la infraestructura de la escuela, así como la mejora de las condiciones en áreas vulnerables como zonas de almacenamiento y accesos directos al exterior.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Limpieza y Sanitización: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 La Cuadrilla de Aseo realizó trabajos de sanitización en los espacios afectados por la infestación de roedores, asegurando la eliminación de residuos contaminados y mejorando las condiciones de higiene en toda la escuela.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Colaboración con la Subdirección de Higiene: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 Se coordinó con la Subdirección de Higiene de la Municipalidad de Santiago para la supervisión técnica, implementación de mejores prácticas de control y realización de visitas periódicas para asegurar el cumplimiento de los protocolos sanitarios.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Retiro de Mobiliario y Materiales en Desuso: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 Se gestionó el retiro de mobiliario viejo y escombros que podrían contribuir a la proliferación de roedores. Esta acción, apoyada por el Departamento de Aseo Municipal y una constructora vecina, ha permitido liberar espacios clave en la escuela.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Acciones Conjuntas con la Construcción Colindante:</w:t>
      </w: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 Se coordinaron medidas de control de plagas con los encargados de la obra en construcción cercana, asegurando la hermetización del área para evitar la circulación de roedores desde el perímetro colindante.</w:t>
      </w:r>
    </w:p>
    <w:p w:rsidR="00000000" w:rsidDel="00000000" w:rsidP="00000000" w:rsidRDefault="00000000" w:rsidRPr="00000000" w14:paraId="0000000D">
      <w:pPr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Próximas acciones y medidas preventivas: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Se llevará a cabo el retiro de abejas que se detectaron en el establecimiento, a través de una empresa especializada, para garantizar la seguridad de la comunidad escolar.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Se implementarán todas las recomendaciones proporcionadas por los expertos tras la charla técnica realizada por la Subdirección de Higiene, incluidas medidas de prevención y monitoreo continuo.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El equipo de operaciones continuará trabajando en la mejora de los accesos y en la realización de limpiezas regulares para mantener un ambiente seguro y saludable.</w:t>
      </w:r>
    </w:p>
    <w:p w:rsidR="00000000" w:rsidDel="00000000" w:rsidP="00000000" w:rsidRDefault="00000000" w:rsidRPr="00000000" w14:paraId="00000011">
      <w:pPr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La Dirección de Educación Municipal reafirma su compromiso con el bienestar de la comunidad educativa, garantizando que todas las medidas necesarias para controlar y erradicar la plaga sean implementadas de manera eficaz y en tiempo oportuno. </w:t>
      </w:r>
    </w:p>
    <w:p w:rsidR="00000000" w:rsidDel="00000000" w:rsidP="00000000" w:rsidRDefault="00000000" w:rsidRPr="00000000" w14:paraId="00000012">
      <w:pPr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Dirección de Educación Municipal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Ilustre Municipalidad de Santiago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Gabarito"/>
  <w:font w:name="Source Sans 3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Gabarito" w:cs="Gabarito" w:eastAsia="Gabarito" w:hAnsi="Gabarito"/>
        <w:color w:val="000000"/>
        <w:sz w:val="22"/>
        <w:szCs w:val="22"/>
      </w:rPr>
    </w:pPr>
    <w:r w:rsidDel="00000000" w:rsidR="00000000" w:rsidRPr="00000000">
      <w:rPr>
        <w:rFonts w:ascii="Gabarito" w:cs="Gabarito" w:eastAsia="Gabarito" w:hAnsi="Gabarito"/>
        <w:color w:val="000000"/>
        <w:sz w:val="22"/>
        <w:szCs w:val="22"/>
        <w:rtl w:val="0"/>
      </w:rPr>
      <w:t xml:space="preserve">Dirección de Educación Municipal de Santiago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-156208</wp:posOffset>
          </wp:positionH>
          <wp:positionV relativeFrom="paragraph">
            <wp:posOffset>0</wp:posOffset>
          </wp:positionV>
          <wp:extent cx="1200150" cy="428625"/>
          <wp:effectExtent b="0" l="0" r="0" t="0"/>
          <wp:wrapSquare wrapText="bothSides" distB="0" distT="0" distL="114300" distR="114300"/>
          <wp:docPr descr="Logotipo&#10;&#10;Descripción generada automáticamente" id="1" name="image1.pn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-26" r="-712" t="0"/>
                  <a:stretch>
                    <a:fillRect/>
                  </a:stretch>
                </pic:blipFill>
                <pic:spPr>
                  <a:xfrm>
                    <a:off x="0" y="0"/>
                    <a:ext cx="120015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Gabarito" w:cs="Gabarito" w:eastAsia="Gabarito" w:hAnsi="Gabarito"/>
        <w:color w:val="000000"/>
        <w:sz w:val="22"/>
        <w:szCs w:val="22"/>
      </w:rPr>
    </w:pPr>
    <w:r w:rsidDel="00000000" w:rsidR="00000000" w:rsidRPr="00000000">
      <w:rPr>
        <w:rFonts w:ascii="Gabarito" w:cs="Gabarito" w:eastAsia="Gabarito" w:hAnsi="Gabarito"/>
        <w:color w:val="000000"/>
        <w:sz w:val="22"/>
        <w:szCs w:val="22"/>
        <w:rtl w:val="0"/>
      </w:rPr>
      <w:t xml:space="preserve">Unidad de Gestión Institucional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Gabarito" w:cs="Gabarito" w:eastAsia="Gabarito" w:hAnsi="Gabarito"/>
        <w:color w:val="000000"/>
        <w:sz w:val="22"/>
        <w:szCs w:val="22"/>
      </w:rPr>
    </w:pPr>
    <w:r w:rsidDel="00000000" w:rsidR="00000000" w:rsidRPr="00000000">
      <w:rPr>
        <w:rFonts w:ascii="Gabarito" w:cs="Gabarito" w:eastAsia="Gabarito" w:hAnsi="Gabarito"/>
        <w:color w:val="000000"/>
        <w:sz w:val="22"/>
        <w:szCs w:val="22"/>
        <w:rtl w:val="0"/>
      </w:rPr>
      <w:t xml:space="preserve">Comunicaciones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C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